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80"/>
        <w:gridCol w:w="1220"/>
        <w:gridCol w:w="860"/>
        <w:gridCol w:w="1078"/>
        <w:gridCol w:w="942"/>
        <w:gridCol w:w="1818"/>
        <w:gridCol w:w="1202"/>
        <w:gridCol w:w="1798"/>
        <w:gridCol w:w="1062"/>
        <w:gridCol w:w="114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益阳市邓石桥建筑工程有限公司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其中，在建项目个数：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个,完工项目个数：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0"/>
                <w:szCs w:val="20"/>
              </w:rPr>
              <w:t>个               填报时间：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天捷燃气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CNG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加气站工程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益阳市高新区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78万元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2019.4月开工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黄志贤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湘243070910599</w:t>
            </w: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湘建安B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(2010)080000033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卜冬林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B08001090000000080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龚中岳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43172020040780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湘建安C(2013)080000006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李吉平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43171010042277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姚龙辉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43171060025429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128E"/>
    <w:rsid w:val="421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2019-07-15T01:26:00Z</dcterms:created>
  <dc:creator>Administrator</dc:creator>
  <cp:lastModifiedBy>Administrator</cp:lastModifiedBy>
  <dcterms:modified xsi:type="dcterms:W3CDTF">2019-07-15T01:28:25Z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